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РОССИЙСКАЯ ФЕДЕРАЦИЯ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РОСТОВСКАЯ ОБЛАСТЬ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УСТЬ-ДОНЕЦКИЙ РАЙОН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АДМИНИСТРАЦИЯ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НИЖНЕКУНДРЮЧЕНСКОГО СЕЛЬСКОГО ПОСЕЛЕНИЯ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ПОСТАНОВЛЕНИЕ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1B176E" w:rsidP="00CD5E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</w:t>
      </w:r>
      <w:r w:rsidR="00CD5E9D" w:rsidRPr="00CD5E9D">
        <w:rPr>
          <w:rFonts w:ascii="Times New Roman" w:hAnsi="Times New Roman"/>
          <w:sz w:val="28"/>
          <w:szCs w:val="28"/>
        </w:rPr>
        <w:t xml:space="preserve">» </w:t>
      </w:r>
      <w:r w:rsidR="00F866F8">
        <w:rPr>
          <w:rFonts w:ascii="Times New Roman" w:hAnsi="Times New Roman"/>
          <w:sz w:val="28"/>
          <w:szCs w:val="28"/>
        </w:rPr>
        <w:t>июня</w:t>
      </w:r>
      <w:r w:rsidR="00CD5E9D" w:rsidRPr="00CD5E9D">
        <w:rPr>
          <w:rFonts w:ascii="Times New Roman" w:hAnsi="Times New Roman"/>
          <w:sz w:val="28"/>
          <w:szCs w:val="28"/>
        </w:rPr>
        <w:t xml:space="preserve"> 20</w:t>
      </w:r>
      <w:r w:rsidR="00F866F8">
        <w:rPr>
          <w:rFonts w:ascii="Times New Roman" w:hAnsi="Times New Roman"/>
          <w:sz w:val="28"/>
          <w:szCs w:val="28"/>
        </w:rPr>
        <w:t>26</w:t>
      </w:r>
      <w:r w:rsidR="00CD5E9D">
        <w:rPr>
          <w:rFonts w:ascii="Times New Roman" w:hAnsi="Times New Roman"/>
          <w:sz w:val="28"/>
          <w:szCs w:val="28"/>
        </w:rPr>
        <w:t xml:space="preserve"> года             № 100.12/</w:t>
      </w:r>
      <w:r w:rsidR="007029C8">
        <w:rPr>
          <w:rFonts w:ascii="Times New Roman" w:hAnsi="Times New Roman"/>
          <w:sz w:val="28"/>
          <w:szCs w:val="28"/>
        </w:rPr>
        <w:t>65</w:t>
      </w:r>
      <w:bookmarkStart w:id="0" w:name="_GoBack"/>
      <w:bookmarkEnd w:id="0"/>
      <w:r w:rsidR="00CD5E9D" w:rsidRPr="00CD5E9D">
        <w:rPr>
          <w:rFonts w:ascii="Times New Roman" w:hAnsi="Times New Roman"/>
          <w:sz w:val="28"/>
          <w:szCs w:val="28"/>
        </w:rPr>
        <w:t>-п-2</w:t>
      </w:r>
      <w:r w:rsidR="00F866F8">
        <w:rPr>
          <w:rFonts w:ascii="Times New Roman" w:hAnsi="Times New Roman"/>
          <w:sz w:val="28"/>
          <w:szCs w:val="28"/>
        </w:rPr>
        <w:t>6</w:t>
      </w:r>
      <w:r w:rsidR="00CD5E9D" w:rsidRPr="00CD5E9D">
        <w:rPr>
          <w:rFonts w:ascii="Times New Roman" w:hAnsi="Times New Roman"/>
          <w:sz w:val="28"/>
          <w:szCs w:val="28"/>
        </w:rPr>
        <w:t xml:space="preserve">           ст. Нижнекундрюченская</w:t>
      </w:r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42163B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42163B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     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322578">
              <w:rPr>
                <w:sz w:val="28"/>
                <w:szCs w:val="28"/>
              </w:rPr>
              <w:t>61:39:0600006:549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="00CD5E9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A747B9">
        <w:rPr>
          <w:rFonts w:ascii="Times New Roman" w:hAnsi="Times New Roman"/>
          <w:b w:val="0"/>
          <w:sz w:val="28"/>
          <w:szCs w:val="28"/>
        </w:rPr>
        <w:t>Об обороте земель с</w:t>
      </w:r>
      <w:r w:rsidR="00CD5E9D">
        <w:rPr>
          <w:rFonts w:ascii="Times New Roman" w:hAnsi="Times New Roman"/>
          <w:b w:val="0"/>
          <w:sz w:val="28"/>
          <w:szCs w:val="28"/>
        </w:rPr>
        <w:t>ельскохозяйственного назначения»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1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</w:t>
      </w:r>
      <w:r w:rsidR="00721E40" w:rsidRPr="00A747B9">
        <w:rPr>
          <w:rFonts w:ascii="Times New Roman" w:hAnsi="Times New Roman"/>
          <w:b w:val="0"/>
          <w:sz w:val="28"/>
          <w:szCs w:val="28"/>
        </w:rPr>
        <w:t>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1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CD5E9D" w:rsidRDefault="00CD5E9D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F866F8" w:rsidRDefault="00721E40" w:rsidP="00CD5E9D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</w:t>
      </w:r>
      <w:r w:rsidR="00D77D2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</w:t>
      </w:r>
      <w:r w:rsidR="00CD5E9D">
        <w:rPr>
          <w:rFonts w:ascii="Times New Roman" w:hAnsi="Times New Roman"/>
          <w:color w:val="auto"/>
          <w:sz w:val="28"/>
          <w:szCs w:val="28"/>
        </w:rPr>
        <w:t>дастровым номером 61:39:0600006:</w:t>
      </w:r>
      <w:r w:rsidR="00C5201F">
        <w:rPr>
          <w:rFonts w:ascii="Times New Roman" w:hAnsi="Times New Roman"/>
          <w:color w:val="auto"/>
          <w:sz w:val="28"/>
          <w:szCs w:val="28"/>
        </w:rPr>
        <w:t>549</w:t>
      </w:r>
      <w:r w:rsidR="00440600">
        <w:rPr>
          <w:rFonts w:ascii="Times New Roman" w:hAnsi="Times New Roman"/>
          <w:color w:val="auto"/>
          <w:sz w:val="28"/>
          <w:szCs w:val="28"/>
        </w:rPr>
        <w:t>,</w:t>
      </w:r>
      <w:r w:rsidR="00C5201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40600">
        <w:rPr>
          <w:rFonts w:ascii="Times New Roman" w:hAnsi="Times New Roman"/>
          <w:color w:val="auto"/>
          <w:sz w:val="28"/>
          <w:szCs w:val="28"/>
        </w:rPr>
        <w:t>м</w:t>
      </w:r>
      <w:r w:rsidR="00CD5E9D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F866F8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C5201F" w:rsidRPr="00C5201F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"Россия"</w:t>
      </w:r>
      <w:r w:rsidR="00C5201F">
        <w:rPr>
          <w:rFonts w:ascii="Times New Roman" w:hAnsi="Times New Roman"/>
          <w:color w:val="auto"/>
          <w:sz w:val="28"/>
          <w:szCs w:val="28"/>
        </w:rPr>
        <w:t>.</w:t>
      </w:r>
    </w:p>
    <w:p w:rsidR="00C23A5A" w:rsidRPr="00F866F8" w:rsidRDefault="00856ECF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440600">
        <w:rPr>
          <w:rFonts w:ascii="Times New Roman" w:hAnsi="Times New Roman"/>
          <w:color w:val="auto"/>
          <w:sz w:val="28"/>
          <w:szCs w:val="28"/>
        </w:rPr>
        <w:t>. Утвердить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C5201F">
        <w:rPr>
          <w:rFonts w:ascii="Times New Roman" w:hAnsi="Times New Roman"/>
          <w:color w:val="auto"/>
          <w:sz w:val="28"/>
          <w:szCs w:val="28"/>
        </w:rPr>
        <w:t>61:39:0600006:549, м</w:t>
      </w:r>
      <w:r w:rsidR="00C5201F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C5201F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C5201F" w:rsidRPr="00C5201F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"Россия"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согласно 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>приложени</w:t>
      </w:r>
      <w:r w:rsidR="00AC163B" w:rsidRPr="00F866F8">
        <w:rPr>
          <w:rFonts w:ascii="Times New Roman" w:hAnsi="Times New Roman"/>
          <w:color w:val="auto"/>
          <w:sz w:val="28"/>
          <w:szCs w:val="28"/>
        </w:rPr>
        <w:t>ю</w:t>
      </w:r>
      <w:r w:rsidR="006D576D" w:rsidRPr="00F866F8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 1.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ab/>
      </w:r>
    </w:p>
    <w:p w:rsidR="00F866F8" w:rsidRDefault="00890525" w:rsidP="00F866F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66F8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6E1269">
        <w:rPr>
          <w:rFonts w:ascii="Times New Roman" w:hAnsi="Times New Roman"/>
          <w:color w:val="auto"/>
          <w:sz w:val="28"/>
          <w:szCs w:val="28"/>
        </w:rPr>
        <w:t>Утвердить п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равила расчёта размера земельных долей, выраженных в </w:t>
      </w:r>
      <w:proofErr w:type="spellStart"/>
      <w:r w:rsidR="00F866F8" w:rsidRPr="00F866F8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-гектарах, в простую правильную дробь в отношении земельного участка из категории земель сельскохозяйственного назначения с кадастровым номером </w:t>
      </w:r>
      <w:r w:rsidR="00F866F8">
        <w:rPr>
          <w:rFonts w:ascii="Times New Roman" w:hAnsi="Times New Roman"/>
          <w:color w:val="auto"/>
          <w:sz w:val="28"/>
          <w:szCs w:val="28"/>
        </w:rPr>
        <w:t>61:39:0600006:</w:t>
      </w:r>
      <w:r w:rsidR="00C5201F">
        <w:rPr>
          <w:rFonts w:ascii="Times New Roman" w:hAnsi="Times New Roman"/>
          <w:color w:val="auto"/>
          <w:sz w:val="28"/>
          <w:szCs w:val="28"/>
        </w:rPr>
        <w:t>549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2</w:t>
      </w:r>
      <w:r w:rsidR="00F866F8">
        <w:rPr>
          <w:rFonts w:ascii="Times New Roman" w:hAnsi="Times New Roman"/>
          <w:color w:val="auto"/>
          <w:sz w:val="28"/>
          <w:szCs w:val="28"/>
        </w:rPr>
        <w:t>.</w:t>
      </w:r>
    </w:p>
    <w:p w:rsidR="009865A6" w:rsidRPr="00A747B9" w:rsidRDefault="00F866F8" w:rsidP="00F866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в</w:t>
      </w:r>
      <w:r w:rsidR="00E72280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средствах массовой информации </w:t>
      </w:r>
      <w:r w:rsidR="00FC6198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и разместить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440600"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0600" w:rsidRDefault="00F866F8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03FAF" w:rsidRPr="00A747B9" w:rsidRDefault="0044060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некундрюченского</w:t>
      </w:r>
    </w:p>
    <w:p w:rsidR="009865A6" w:rsidRPr="00A747B9" w:rsidRDefault="00E7228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А.</w:t>
      </w:r>
      <w:r w:rsidR="00F866F8">
        <w:rPr>
          <w:rFonts w:ascii="Times New Roman" w:hAnsi="Times New Roman"/>
          <w:sz w:val="28"/>
          <w:szCs w:val="28"/>
        </w:rPr>
        <w:t>Н. Токарев</w:t>
      </w: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Pr="00F866F8">
        <w:rPr>
          <w:rFonts w:ascii="Times New Roman" w:hAnsi="Times New Roman"/>
          <w:sz w:val="24"/>
          <w:szCs w:val="24"/>
        </w:rPr>
        <w:t xml:space="preserve">Приложение № 1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1B176E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 w:rsidR="006E1269">
        <w:rPr>
          <w:rFonts w:ascii="Times New Roman" w:hAnsi="Times New Roman"/>
          <w:sz w:val="24"/>
          <w:szCs w:val="24"/>
        </w:rPr>
        <w:t>1</w:t>
      </w:r>
      <w:r w:rsidR="001B17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866F8" w:rsidRDefault="0042163B" w:rsidP="00C5201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Утверждение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размер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C5201F">
        <w:rPr>
          <w:rFonts w:ascii="Times New Roman" w:hAnsi="Times New Roman"/>
          <w:color w:val="auto"/>
          <w:sz w:val="28"/>
          <w:szCs w:val="28"/>
        </w:rPr>
        <w:t>61:39:0600006:549, м</w:t>
      </w:r>
      <w:r w:rsidR="00C5201F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C5201F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C5201F" w:rsidRPr="00C5201F">
        <w:rPr>
          <w:rFonts w:ascii="Times New Roman" w:hAnsi="Times New Roman"/>
          <w:color w:val="auto"/>
          <w:sz w:val="28"/>
          <w:szCs w:val="28"/>
        </w:rPr>
        <w:t>Ростовская обл., р-н Усть-Донецкий, сельскохозяйственная артель "Россия"</w:t>
      </w:r>
    </w:p>
    <w:p w:rsidR="00C5201F" w:rsidRPr="00F866F8" w:rsidRDefault="00C5201F" w:rsidP="00C5201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1417"/>
        <w:gridCol w:w="2552"/>
        <w:gridCol w:w="1417"/>
        <w:gridCol w:w="1985"/>
      </w:tblGrid>
      <w:tr w:rsidR="0042163B" w:rsidRPr="00F866F8" w:rsidTr="00880A45">
        <w:trPr>
          <w:trHeight w:val="189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 xml:space="preserve">размер земельной доли, </w:t>
            </w:r>
          </w:p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880A45" w:rsidRPr="00F866F8" w:rsidTr="00880A45">
        <w:trPr>
          <w:trHeight w:val="551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0A45" w:rsidRDefault="00880A45" w:rsidP="00880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Pr="00514F88" w:rsidRDefault="00880A45" w:rsidP="0088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Pr="00514F88" w:rsidRDefault="00880A45" w:rsidP="0088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1:39:0600006:549-61/228/2022-21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Pr="00514F88" w:rsidRDefault="00880A45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A45" w:rsidRPr="00514F88" w:rsidRDefault="000A1FDA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</w:tc>
      </w:tr>
      <w:tr w:rsidR="00C5201F" w:rsidRPr="00F866F8" w:rsidTr="00880A45">
        <w:trPr>
          <w:trHeight w:val="262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15.05.2009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61-61-45/019/2009-222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FE29C9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25.07.2008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61-61-45/025/2008-182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15.12.2006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61-61-45/029/2006-347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FE29C9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31.10.2006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61-61-45/028/2006-33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01F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06.05.2006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P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61-61-45/014/2006-105</w:t>
            </w:r>
          </w:p>
          <w:p w:rsidR="00C5201F" w:rsidRPr="0042163B" w:rsidRDefault="00C5201F" w:rsidP="00C520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9 га</w:t>
            </w: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1/40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F354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21.06.2004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61-01/39-12/2004-61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29.12.2003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61-01/39-19/2003-56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F354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26.03.2003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61-01/39-6/2003-135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11.02.2003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61-01/39-1/2003-166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F354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17.01.2003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61-01/39-1/2003-27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01F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26170D">
              <w:rPr>
                <w:rFonts w:ascii="Times New Roman" w:hAnsi="Times New Roman"/>
                <w:sz w:val="24"/>
                <w:szCs w:val="24"/>
              </w:rPr>
              <w:t>Правообладатель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22.08.2001</w:t>
            </w: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22.08.2001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61-39-19/2001-30</w:t>
            </w: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61-39-19/2001-29</w:t>
            </w:r>
          </w:p>
          <w:p w:rsidR="00C5201F" w:rsidRPr="0042163B" w:rsidRDefault="00C5201F" w:rsidP="00C520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0A45" w:rsidRDefault="00880A45" w:rsidP="00880A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01F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031A7D">
              <w:rPr>
                <w:rFonts w:ascii="Times New Roman" w:hAnsi="Times New Roman"/>
                <w:sz w:val="24"/>
                <w:szCs w:val="24"/>
              </w:rPr>
              <w:t xml:space="preserve">Правообладатель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19.04.2001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P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61-39-12/2001-41</w:t>
            </w:r>
          </w:p>
          <w:p w:rsidR="00C5201F" w:rsidRPr="0042163B" w:rsidRDefault="00C5201F" w:rsidP="00C520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01F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201F" w:rsidRDefault="00C5201F" w:rsidP="00C5201F">
            <w:r w:rsidRPr="00031A7D">
              <w:rPr>
                <w:rFonts w:ascii="Times New Roman" w:hAnsi="Times New Roman"/>
                <w:sz w:val="24"/>
                <w:szCs w:val="24"/>
              </w:rPr>
              <w:t xml:space="preserve">Правообладатель №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19.03.2001</w:t>
            </w:r>
          </w:p>
          <w:p w:rsidR="00880A45" w:rsidRPr="0042163B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0A45" w:rsidRPr="00880A45" w:rsidRDefault="00880A45" w:rsidP="00880A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61-39-10/2001-87</w:t>
            </w:r>
          </w:p>
          <w:p w:rsidR="00C5201F" w:rsidRPr="0042163B" w:rsidRDefault="00C5201F" w:rsidP="00C520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7,22</w:t>
            </w:r>
          </w:p>
          <w:p w:rsidR="00880A45" w:rsidRDefault="00880A45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201F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1/25</w:t>
            </w:r>
          </w:p>
          <w:p w:rsidR="000A1FDA" w:rsidRDefault="000A1FDA" w:rsidP="00C5201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BA7BA1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031A7D">
              <w:rPr>
                <w:rFonts w:ascii="Times New Roman" w:hAnsi="Times New Roman"/>
                <w:sz w:val="24"/>
                <w:szCs w:val="24"/>
              </w:rPr>
              <w:t xml:space="preserve">Правообладатель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26.12.2000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61-39-24/2000-147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FDA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Pr="00514F88" w:rsidRDefault="000A1FDA" w:rsidP="000A1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FDA" w:rsidRPr="00F866F8" w:rsidTr="00880A45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1FDA" w:rsidRDefault="000A1FDA" w:rsidP="000A1FDA">
            <w:r w:rsidRPr="00031A7D">
              <w:rPr>
                <w:rFonts w:ascii="Times New Roman" w:hAnsi="Times New Roman"/>
                <w:sz w:val="24"/>
                <w:szCs w:val="24"/>
              </w:rPr>
              <w:t xml:space="preserve">Правообладатель №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18.04.2000</w:t>
            </w:r>
          </w:p>
          <w:p w:rsidR="000A1FDA" w:rsidRPr="0042163B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Pr="00880A45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A45">
              <w:rPr>
                <w:rFonts w:ascii="Times New Roman" w:hAnsi="Times New Roman"/>
                <w:sz w:val="24"/>
                <w:szCs w:val="24"/>
              </w:rPr>
              <w:t>61-39-7/2000-72</w:t>
            </w:r>
          </w:p>
          <w:p w:rsidR="000A1FDA" w:rsidRPr="0042163B" w:rsidRDefault="000A1FDA" w:rsidP="000A1FD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</w:t>
            </w:r>
          </w:p>
          <w:p w:rsidR="000A1FDA" w:rsidRDefault="000A1FDA" w:rsidP="000A1FD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6F8" w:rsidRP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F866F8">
        <w:rPr>
          <w:rFonts w:ascii="Times New Roman" w:hAnsi="Times New Roman"/>
          <w:sz w:val="24"/>
          <w:szCs w:val="24"/>
        </w:rPr>
        <w:t xml:space="preserve">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1B176E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1B17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pStyle w:val="aff2"/>
        <w:contextualSpacing/>
        <w:jc w:val="right"/>
        <w:rPr>
          <w:sz w:val="28"/>
          <w:szCs w:val="28"/>
        </w:rPr>
      </w:pPr>
      <w:r w:rsidRPr="00F866F8">
        <w:rPr>
          <w:sz w:val="28"/>
          <w:szCs w:val="28"/>
        </w:rPr>
        <w:t xml:space="preserve"> </w:t>
      </w: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>Правила расчёта размера земельных дол</w:t>
      </w:r>
      <w:r w:rsidR="0042163B">
        <w:rPr>
          <w:sz w:val="28"/>
          <w:szCs w:val="28"/>
        </w:rPr>
        <w:t xml:space="preserve">ей, выраженных в </w:t>
      </w:r>
      <w:proofErr w:type="spellStart"/>
      <w:r w:rsidR="0042163B">
        <w:rPr>
          <w:sz w:val="28"/>
          <w:szCs w:val="28"/>
        </w:rPr>
        <w:t>балло</w:t>
      </w:r>
      <w:proofErr w:type="spellEnd"/>
      <w:r w:rsidR="0042163B">
        <w:rPr>
          <w:sz w:val="28"/>
          <w:szCs w:val="28"/>
        </w:rPr>
        <w:t>-гектарах</w:t>
      </w: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 xml:space="preserve">в простую правильную дробь в отношении земельного участка </w:t>
      </w:r>
    </w:p>
    <w:p w:rsid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FC6198">
        <w:rPr>
          <w:sz w:val="28"/>
          <w:szCs w:val="28"/>
        </w:rPr>
        <w:t xml:space="preserve">кадастровым номером </w:t>
      </w:r>
      <w:r>
        <w:rPr>
          <w:sz w:val="28"/>
          <w:szCs w:val="28"/>
        </w:rPr>
        <w:t>61:39:0600006:</w:t>
      </w:r>
      <w:r w:rsidR="00C5201F">
        <w:rPr>
          <w:sz w:val="28"/>
          <w:szCs w:val="28"/>
        </w:rPr>
        <w:t>549</w:t>
      </w:r>
    </w:p>
    <w:p w:rsidR="0042163B" w:rsidRP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Порядок определения размеров земельных долей, выраженных, в том числе,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виде простой правильной дроби устанавливается Правительством Российской Федерации.</w:t>
      </w:r>
    </w:p>
    <w:p w:rsidR="00F866F8" w:rsidRDefault="00F866F8" w:rsidP="00F866F8">
      <w:pPr>
        <w:pStyle w:val="aff2"/>
        <w:ind w:firstLine="0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          Так согласно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 xml:space="preserve">-гектарах, в виде простой правильной дроби», в целях определения в виде простой правильной дроби земельной доли, выраженной в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42163B" w:rsidRPr="00F866F8" w:rsidRDefault="0042163B" w:rsidP="00F866F8">
      <w:pPr>
        <w:pStyle w:val="aff2"/>
        <w:ind w:firstLine="0"/>
        <w:contextualSpacing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(д)=</w:t>
      </w: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</w:t>
      </w:r>
      <w:r w:rsidRPr="00F866F8">
        <w:rPr>
          <w:noProof/>
          <w:position w:val="-27"/>
          <w:sz w:val="28"/>
          <w:szCs w:val="28"/>
          <w:lang w:val="en-US"/>
        </w:rPr>
        <w:t>r</w:t>
      </w:r>
      <w:r w:rsidRPr="00F866F8">
        <w:rPr>
          <w:noProof/>
          <w:position w:val="-27"/>
          <w:sz w:val="28"/>
          <w:szCs w:val="28"/>
        </w:rPr>
        <w:t>)/</w:t>
      </w:r>
      <w:r w:rsidRPr="00F866F8">
        <w:rPr>
          <w:noProof/>
          <w:position w:val="-27"/>
          <w:sz w:val="28"/>
          <w:szCs w:val="28"/>
          <w:lang w:val="en-US"/>
        </w:rPr>
        <w:t>S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где: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Р(д) - размер земельной доли в виде простой правильной дроби;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</w:t>
      </w:r>
      <w:r w:rsidRPr="00F866F8">
        <w:rPr>
          <w:sz w:val="28"/>
          <w:szCs w:val="28"/>
          <w:lang w:val="en-US"/>
        </w:rPr>
        <w:t>r</w:t>
      </w:r>
      <w:r w:rsidRPr="00F866F8">
        <w:rPr>
          <w:sz w:val="28"/>
          <w:szCs w:val="28"/>
        </w:rPr>
        <w:t>) - размер земельной доли, выраженной в гектарах, округленный до целого значения;</w:t>
      </w:r>
    </w:p>
    <w:p w:rsid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S - площадь земельного участка (в гектарах) округленного до целого значения.</w:t>
      </w:r>
    </w:p>
    <w:p w:rsidR="0042163B" w:rsidRPr="00F866F8" w:rsidRDefault="0042163B" w:rsidP="00F866F8">
      <w:pPr>
        <w:pStyle w:val="aff2"/>
        <w:contextualSpacing/>
        <w:rPr>
          <w:sz w:val="28"/>
          <w:szCs w:val="28"/>
        </w:rPr>
      </w:pP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Размер земельной доли, выраженной в виде простой правильной дроби земельного участка с КН 61:39:0600006:549 будет равен 1/20 (размер одной доли, выраженной в гектарах, составляет (9,0 га)/площадь земельного участка (в гектарах), округленная до целого значения составляет 180 га.)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переводе в простую правильную дробь: 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одна земельная доля равна 1/20, 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- 7,22 земельной доли равны 1/25,</w:t>
      </w:r>
    </w:p>
    <w:p w:rsidR="00A11594" w:rsidRDefault="00A11594" w:rsidP="00A11594">
      <w:pPr>
        <w:pStyle w:val="aff2"/>
        <w:contextualSpacing/>
        <w:rPr>
          <w:sz w:val="28"/>
          <w:szCs w:val="28"/>
        </w:rPr>
      </w:pPr>
      <w:r>
        <w:rPr>
          <w:sz w:val="28"/>
          <w:szCs w:val="28"/>
        </w:rPr>
        <w:t>- 1/2 земельной доли равна 1/40.</w:t>
      </w:r>
    </w:p>
    <w:p w:rsidR="0042163B" w:rsidRDefault="0042163B" w:rsidP="00A11594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br/>
      </w:r>
      <w:r w:rsidRPr="009D3504">
        <w:rPr>
          <w:sz w:val="28"/>
          <w:szCs w:val="28"/>
        </w:rPr>
        <w:t xml:space="preserve">Начальник сектора по </w:t>
      </w:r>
      <w:r>
        <w:rPr>
          <w:sz w:val="28"/>
          <w:szCs w:val="28"/>
        </w:rPr>
        <w:t>общим вопросам</w:t>
      </w:r>
    </w:p>
    <w:p w:rsidR="0042163B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и благоустройству</w:t>
      </w:r>
      <w:r w:rsidRPr="009D3504">
        <w:rPr>
          <w:sz w:val="28"/>
          <w:szCs w:val="28"/>
        </w:rPr>
        <w:t xml:space="preserve"> Администрации </w:t>
      </w:r>
    </w:p>
    <w:p w:rsidR="0042163B" w:rsidRPr="006644ED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Ниж</w:t>
      </w:r>
      <w:r w:rsidRPr="009D3504">
        <w:rPr>
          <w:sz w:val="28"/>
          <w:szCs w:val="28"/>
        </w:rPr>
        <w:t>некундрюченского сельского поселения</w:t>
      </w:r>
      <w:r>
        <w:rPr>
          <w:sz w:val="28"/>
          <w:szCs w:val="28"/>
        </w:rPr>
        <w:t xml:space="preserve">                                    К.Е. </w:t>
      </w:r>
      <w:proofErr w:type="spellStart"/>
      <w:r>
        <w:rPr>
          <w:sz w:val="28"/>
          <w:szCs w:val="28"/>
        </w:rPr>
        <w:t>Шегеря</w:t>
      </w:r>
      <w:proofErr w:type="spellEnd"/>
    </w:p>
    <w:p w:rsidR="00F866F8" w:rsidRPr="005E1D7D" w:rsidRDefault="00F866F8" w:rsidP="0042163B">
      <w:pPr>
        <w:pStyle w:val="aff2"/>
        <w:ind w:firstLine="0"/>
        <w:contextualSpacing/>
        <w:rPr>
          <w:bCs/>
        </w:rPr>
      </w:pPr>
    </w:p>
    <w:p w:rsidR="00F866F8" w:rsidRPr="00A747B9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866F8" w:rsidRPr="00A747B9" w:rsidSect="00880A45">
      <w:footerReference w:type="default" r:id="rId9"/>
      <w:pgSz w:w="11910" w:h="16840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05" w:rsidRDefault="00587805">
      <w:pPr>
        <w:spacing w:after="0" w:line="240" w:lineRule="auto"/>
      </w:pPr>
      <w:r>
        <w:separator/>
      </w:r>
    </w:p>
  </w:endnote>
  <w:endnote w:type="continuationSeparator" w:id="0">
    <w:p w:rsidR="00587805" w:rsidRDefault="0058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05" w:rsidRDefault="00587805">
      <w:pPr>
        <w:spacing w:after="0" w:line="240" w:lineRule="auto"/>
      </w:pPr>
      <w:r>
        <w:separator/>
      </w:r>
    </w:p>
  </w:footnote>
  <w:footnote w:type="continuationSeparator" w:id="0">
    <w:p w:rsidR="00587805" w:rsidRDefault="0058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6"/>
    <w:rsid w:val="000027C6"/>
    <w:rsid w:val="00065D4A"/>
    <w:rsid w:val="00081385"/>
    <w:rsid w:val="000846F0"/>
    <w:rsid w:val="000870AF"/>
    <w:rsid w:val="000A1FDA"/>
    <w:rsid w:val="000F3AEC"/>
    <w:rsid w:val="00104874"/>
    <w:rsid w:val="00175511"/>
    <w:rsid w:val="00181207"/>
    <w:rsid w:val="00182656"/>
    <w:rsid w:val="001A4BF5"/>
    <w:rsid w:val="001B176E"/>
    <w:rsid w:val="001E5638"/>
    <w:rsid w:val="00234F50"/>
    <w:rsid w:val="002A0B5A"/>
    <w:rsid w:val="002C3DE9"/>
    <w:rsid w:val="002E5D03"/>
    <w:rsid w:val="00322578"/>
    <w:rsid w:val="00387AC6"/>
    <w:rsid w:val="0039489B"/>
    <w:rsid w:val="003951BE"/>
    <w:rsid w:val="00397BAD"/>
    <w:rsid w:val="003B5252"/>
    <w:rsid w:val="003C0109"/>
    <w:rsid w:val="003D2FEC"/>
    <w:rsid w:val="00403FAF"/>
    <w:rsid w:val="0042163B"/>
    <w:rsid w:val="00426544"/>
    <w:rsid w:val="0043619C"/>
    <w:rsid w:val="00440600"/>
    <w:rsid w:val="0044157F"/>
    <w:rsid w:val="00487C2D"/>
    <w:rsid w:val="00493238"/>
    <w:rsid w:val="004A5CB8"/>
    <w:rsid w:val="004C7F6E"/>
    <w:rsid w:val="004E490B"/>
    <w:rsid w:val="0051448C"/>
    <w:rsid w:val="00543DF2"/>
    <w:rsid w:val="00587805"/>
    <w:rsid w:val="005A2ADA"/>
    <w:rsid w:val="005A3995"/>
    <w:rsid w:val="005A471F"/>
    <w:rsid w:val="005D3C70"/>
    <w:rsid w:val="005E25AB"/>
    <w:rsid w:val="00663CF3"/>
    <w:rsid w:val="00666304"/>
    <w:rsid w:val="00695C08"/>
    <w:rsid w:val="006B1259"/>
    <w:rsid w:val="006B500E"/>
    <w:rsid w:val="006D576D"/>
    <w:rsid w:val="006E1269"/>
    <w:rsid w:val="006E38E5"/>
    <w:rsid w:val="006E69C4"/>
    <w:rsid w:val="006F5570"/>
    <w:rsid w:val="00701BBD"/>
    <w:rsid w:val="007029C8"/>
    <w:rsid w:val="00703579"/>
    <w:rsid w:val="00706AA2"/>
    <w:rsid w:val="00721E40"/>
    <w:rsid w:val="007A582B"/>
    <w:rsid w:val="007E61C6"/>
    <w:rsid w:val="00845D64"/>
    <w:rsid w:val="00856ECF"/>
    <w:rsid w:val="00880A45"/>
    <w:rsid w:val="00882153"/>
    <w:rsid w:val="00890525"/>
    <w:rsid w:val="00892B55"/>
    <w:rsid w:val="00893E5D"/>
    <w:rsid w:val="008B026F"/>
    <w:rsid w:val="008B5816"/>
    <w:rsid w:val="008D60A3"/>
    <w:rsid w:val="0095207A"/>
    <w:rsid w:val="00952730"/>
    <w:rsid w:val="00975EE0"/>
    <w:rsid w:val="009865A6"/>
    <w:rsid w:val="009C33AE"/>
    <w:rsid w:val="009D51DE"/>
    <w:rsid w:val="009E2C2E"/>
    <w:rsid w:val="00A0121D"/>
    <w:rsid w:val="00A11594"/>
    <w:rsid w:val="00A11F79"/>
    <w:rsid w:val="00A310D4"/>
    <w:rsid w:val="00A747B9"/>
    <w:rsid w:val="00AC163B"/>
    <w:rsid w:val="00AC19C2"/>
    <w:rsid w:val="00AE462A"/>
    <w:rsid w:val="00B248DB"/>
    <w:rsid w:val="00B24AA2"/>
    <w:rsid w:val="00B41297"/>
    <w:rsid w:val="00C23A5A"/>
    <w:rsid w:val="00C32037"/>
    <w:rsid w:val="00C32BAA"/>
    <w:rsid w:val="00C513D5"/>
    <w:rsid w:val="00C51811"/>
    <w:rsid w:val="00C5201F"/>
    <w:rsid w:val="00C72A98"/>
    <w:rsid w:val="00C863F8"/>
    <w:rsid w:val="00CC31F2"/>
    <w:rsid w:val="00CD5E9D"/>
    <w:rsid w:val="00CE4474"/>
    <w:rsid w:val="00D14DEA"/>
    <w:rsid w:val="00D158CE"/>
    <w:rsid w:val="00D226D5"/>
    <w:rsid w:val="00D3013B"/>
    <w:rsid w:val="00D34912"/>
    <w:rsid w:val="00D35F17"/>
    <w:rsid w:val="00D4340D"/>
    <w:rsid w:val="00D52914"/>
    <w:rsid w:val="00D648A1"/>
    <w:rsid w:val="00D77D22"/>
    <w:rsid w:val="00D82019"/>
    <w:rsid w:val="00DC1889"/>
    <w:rsid w:val="00DD679A"/>
    <w:rsid w:val="00DE1C46"/>
    <w:rsid w:val="00E04AB0"/>
    <w:rsid w:val="00E21932"/>
    <w:rsid w:val="00E445E2"/>
    <w:rsid w:val="00E72280"/>
    <w:rsid w:val="00E72738"/>
    <w:rsid w:val="00E8289D"/>
    <w:rsid w:val="00E9579D"/>
    <w:rsid w:val="00EA0818"/>
    <w:rsid w:val="00EC1DF8"/>
    <w:rsid w:val="00F84DDE"/>
    <w:rsid w:val="00F866F8"/>
    <w:rsid w:val="00FC6198"/>
    <w:rsid w:val="00FD6DCD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0EBD"/>
  <w15:docId w15:val="{FEB84720-DD30-42A2-9C05-570883BE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069C-C2D5-4766-940C-F380DA94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2026-06-15T12:18:00Z</cp:lastPrinted>
  <dcterms:created xsi:type="dcterms:W3CDTF">2026-06-15T09:19:00Z</dcterms:created>
  <dcterms:modified xsi:type="dcterms:W3CDTF">2026-06-15T12:18:00Z</dcterms:modified>
</cp:coreProperties>
</file>